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E57" w:rsidRPr="006C7E57" w:rsidRDefault="006C7E57" w:rsidP="006C7E57">
      <w:pPr>
        <w:spacing w:before="100" w:beforeAutospacing="1" w:after="100" w:afterAutospacing="1"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b/>
          <w:bCs/>
          <w:sz w:val="24"/>
          <w:szCs w:val="24"/>
          <w:lang w:val="en-US" w:eastAsia="es-ES"/>
        </w:rPr>
        <w:t>Article Applies To:</w:t>
      </w:r>
      <w:r w:rsidRPr="006C7E57">
        <w:rPr>
          <w:rFonts w:ascii="Times New Roman" w:eastAsia="Times New Roman" w:hAnsi="Times New Roman" w:cs="Times New Roman"/>
          <w:b/>
          <w:bCs/>
          <w:sz w:val="20"/>
          <w:lang w:val="en-US" w:eastAsia="es-ES"/>
        </w:rPr>
        <w:t xml:space="preserve"> </w:t>
      </w:r>
    </w:p>
    <w:p w:rsidR="006C7E57" w:rsidRPr="006C7E57" w:rsidRDefault="006C7E57" w:rsidP="006C7E57">
      <w:pPr>
        <w:spacing w:before="100" w:beforeAutospacing="1" w:after="100" w:afterAutospacing="1"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b/>
          <w:bCs/>
          <w:sz w:val="20"/>
          <w:lang w:val="en-US" w:eastAsia="es-ES"/>
        </w:rPr>
        <w:t xml:space="preserve">Affected SonicWALL Security Appliance Platforms: </w:t>
      </w:r>
    </w:p>
    <w:p w:rsidR="006C7E57" w:rsidRPr="006C7E57" w:rsidRDefault="006C7E57" w:rsidP="006C7E57">
      <w:pPr>
        <w:spacing w:before="100" w:beforeAutospacing="1" w:after="100" w:afterAutospacing="1" w:line="240" w:lineRule="auto"/>
        <w:rPr>
          <w:rFonts w:ascii="Times New Roman" w:eastAsia="Times New Roman" w:hAnsi="Times New Roman" w:cs="Times New Roman"/>
          <w:sz w:val="24"/>
          <w:szCs w:val="24"/>
          <w:lang w:eastAsia="es-ES"/>
        </w:rPr>
      </w:pPr>
      <w:r w:rsidRPr="006C7E57">
        <w:rPr>
          <w:rFonts w:ascii="Times New Roman" w:eastAsia="Times New Roman" w:hAnsi="Times New Roman" w:cs="Times New Roman"/>
          <w:b/>
          <w:bCs/>
          <w:sz w:val="20"/>
          <w:lang w:val="en-US" w:eastAsia="es-ES"/>
        </w:rPr>
        <w:t>Gen5:</w:t>
      </w:r>
      <w:r w:rsidRPr="006C7E57">
        <w:rPr>
          <w:rFonts w:ascii="Times New Roman" w:eastAsia="Times New Roman" w:hAnsi="Times New Roman" w:cs="Times New Roman"/>
          <w:sz w:val="20"/>
          <w:szCs w:val="20"/>
          <w:lang w:val="en-US" w:eastAsia="es-ES"/>
        </w:rPr>
        <w:t xml:space="preserve"> NSA E7500, NSA E6500, NSA E5500, NSA 5000, NSA 4500, NSA 3500, NSA 2400MX</w:t>
      </w:r>
      <w:r w:rsidRPr="006C7E57">
        <w:rPr>
          <w:rFonts w:ascii="Times New Roman" w:eastAsia="Times New Roman" w:hAnsi="Times New Roman" w:cs="Times New Roman"/>
          <w:b/>
          <w:bCs/>
          <w:sz w:val="25"/>
          <w:lang w:val="en-US" w:eastAsia="es-ES"/>
        </w:rPr>
        <w:t>*</w:t>
      </w:r>
      <w:r w:rsidRPr="006C7E57">
        <w:rPr>
          <w:rFonts w:ascii="Times New Roman" w:eastAsia="Times New Roman" w:hAnsi="Times New Roman" w:cs="Times New Roman"/>
          <w:sz w:val="20"/>
          <w:szCs w:val="20"/>
          <w:lang w:val="en-US" w:eastAsia="es-ES"/>
        </w:rPr>
        <w:t>, NSA 2400, NSA 240</w:t>
      </w:r>
      <w:r w:rsidRPr="006C7E57">
        <w:rPr>
          <w:rFonts w:ascii="Times New Roman" w:eastAsia="Times New Roman" w:hAnsi="Times New Roman" w:cs="Times New Roman"/>
          <w:sz w:val="20"/>
          <w:szCs w:val="20"/>
          <w:lang w:val="en-US" w:eastAsia="es-ES"/>
        </w:rPr>
        <w:br/>
      </w:r>
      <w:r w:rsidRPr="006C7E57">
        <w:rPr>
          <w:rFonts w:ascii="Times New Roman" w:eastAsia="Times New Roman" w:hAnsi="Times New Roman" w:cs="Times New Roman"/>
          <w:b/>
          <w:bCs/>
          <w:sz w:val="20"/>
          <w:lang w:val="en-US" w:eastAsia="es-ES"/>
        </w:rPr>
        <w:t>Gen4: PRO series:</w:t>
      </w:r>
      <w:r w:rsidRPr="006C7E57">
        <w:rPr>
          <w:rFonts w:ascii="Times New Roman" w:eastAsia="Times New Roman" w:hAnsi="Times New Roman" w:cs="Times New Roman"/>
          <w:sz w:val="20"/>
          <w:szCs w:val="20"/>
          <w:lang w:val="en-US" w:eastAsia="es-ES"/>
        </w:rPr>
        <w:t xml:space="preserve"> PRO 5060, PRO 4100, PRO 4060,PRO 3060, PRO 2040,</w:t>
      </w:r>
      <w:r w:rsidRPr="006C7E57">
        <w:rPr>
          <w:rFonts w:ascii="Times New Roman" w:eastAsia="Times New Roman" w:hAnsi="Times New Roman" w:cs="Times New Roman"/>
          <w:sz w:val="20"/>
          <w:szCs w:val="20"/>
          <w:lang w:val="en-US" w:eastAsia="es-ES"/>
        </w:rPr>
        <w:br/>
      </w:r>
      <w:r w:rsidRPr="006C7E57">
        <w:rPr>
          <w:rFonts w:ascii="Times New Roman" w:eastAsia="Times New Roman" w:hAnsi="Times New Roman" w:cs="Times New Roman"/>
          <w:b/>
          <w:bCs/>
          <w:sz w:val="20"/>
          <w:lang w:val="en-US" w:eastAsia="es-ES"/>
        </w:rPr>
        <w:t>TZ series:</w:t>
      </w:r>
      <w:r w:rsidRPr="006C7E57">
        <w:rPr>
          <w:rFonts w:ascii="Times New Roman" w:eastAsia="Times New Roman" w:hAnsi="Times New Roman" w:cs="Times New Roman"/>
          <w:sz w:val="20"/>
          <w:szCs w:val="20"/>
          <w:lang w:val="en-US" w:eastAsia="es-ES"/>
        </w:rPr>
        <w:t xml:space="preserve"> TZ 200, TZ 200 Wireless, TZ 210, TZ 210 W.</w:t>
      </w:r>
      <w:r w:rsidRPr="006C7E57">
        <w:rPr>
          <w:rFonts w:ascii="Times New Roman" w:eastAsia="Times New Roman" w:hAnsi="Times New Roman" w:cs="Times New Roman"/>
          <w:sz w:val="20"/>
          <w:szCs w:val="20"/>
          <w:lang w:val="en-US" w:eastAsia="es-ES"/>
        </w:rPr>
        <w:br/>
      </w:r>
      <w:r w:rsidRPr="006C7E57">
        <w:rPr>
          <w:rFonts w:ascii="Times New Roman" w:eastAsia="Times New Roman" w:hAnsi="Times New Roman" w:cs="Times New Roman"/>
          <w:b/>
          <w:bCs/>
          <w:sz w:val="20"/>
          <w:lang w:val="en-US" w:eastAsia="es-ES"/>
        </w:rPr>
        <w:t>Firmware/Software Version:</w:t>
      </w:r>
      <w:r w:rsidRPr="006C7E57">
        <w:rPr>
          <w:rFonts w:ascii="Times New Roman" w:eastAsia="Times New Roman" w:hAnsi="Times New Roman" w:cs="Times New Roman"/>
          <w:sz w:val="20"/>
          <w:szCs w:val="20"/>
          <w:lang w:val="en-US" w:eastAsia="es-ES"/>
        </w:rPr>
        <w:t xml:space="preserve"> All Gen 4 and Gen 5 SonicOS Enhanced versions.</w:t>
      </w:r>
      <w:r w:rsidRPr="006C7E57">
        <w:rPr>
          <w:rFonts w:ascii="Times New Roman" w:eastAsia="Times New Roman" w:hAnsi="Times New Roman" w:cs="Times New Roman"/>
          <w:sz w:val="20"/>
          <w:szCs w:val="20"/>
          <w:lang w:val="en-US" w:eastAsia="es-ES"/>
        </w:rPr>
        <w:br/>
      </w:r>
      <w:r w:rsidRPr="006C7E57">
        <w:rPr>
          <w:rFonts w:ascii="Times New Roman" w:eastAsia="Times New Roman" w:hAnsi="Times New Roman" w:cs="Times New Roman"/>
          <w:b/>
          <w:bCs/>
          <w:sz w:val="20"/>
          <w:lang w:eastAsia="es-ES"/>
        </w:rPr>
        <w:t>Services:</w:t>
      </w:r>
      <w:r w:rsidRPr="006C7E57">
        <w:rPr>
          <w:rFonts w:ascii="Times New Roman" w:eastAsia="Times New Roman" w:hAnsi="Times New Roman" w:cs="Times New Roman"/>
          <w:sz w:val="20"/>
          <w:szCs w:val="20"/>
          <w:lang w:eastAsia="es-ES"/>
        </w:rPr>
        <w:t xml:space="preserve"> </w:t>
      </w:r>
      <w:r w:rsidRPr="006C7E57">
        <w:rPr>
          <w:rFonts w:ascii="Times-Bold" w:eastAsia="Times New Roman" w:hAnsi="Times-Bold" w:cs="Times New Roman"/>
          <w:color w:val="000000"/>
          <w:sz w:val="20"/>
          <w:szCs w:val="20"/>
          <w:lang w:eastAsia="es-ES"/>
        </w:rPr>
        <w:t>Hardware Fail-over, Hardware Fail-over w/ Stateful</w:t>
      </w:r>
    </w:p>
    <w:p w:rsidR="006C7E57" w:rsidRPr="006C7E57" w:rsidRDefault="006C7E57" w:rsidP="006C7E57">
      <w:pPr>
        <w:spacing w:after="0" w:line="240" w:lineRule="auto"/>
        <w:rPr>
          <w:rFonts w:ascii="Times New Roman" w:eastAsia="Times New Roman" w:hAnsi="Times New Roman" w:cs="Times New Roman"/>
          <w:sz w:val="24"/>
          <w:szCs w:val="24"/>
          <w:lang w:eastAsia="es-ES"/>
        </w:rPr>
      </w:pPr>
      <w:r w:rsidRPr="006C7E57">
        <w:rPr>
          <w:rFonts w:ascii="Times New Roman" w:eastAsia="Times New Roman" w:hAnsi="Times New Roman" w:cs="Times New Roman"/>
          <w:sz w:val="24"/>
          <w:szCs w:val="24"/>
          <w:lang w:eastAsia="es-ES"/>
        </w:rPr>
        <w:pict>
          <v:rect id="_x0000_i1025" style="width:0;height:1.5pt" o:hralign="center" o:hrstd="t" o:hr="t" fillcolor="#a0a0a0" stroked="f"/>
        </w:pic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32"/>
          <w:lang w:val="en-US" w:eastAsia="es-ES"/>
        </w:rPr>
        <w:t>Synchronization: The Definitive Guide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Basic Hardware Fail-over:</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Basic hardware fail-over is a feature that provides redundancy for an appliance in case of loss of power or hardware failure. If probing is enabled, fail-overs can occur when an interface fails as well. When a fail-over occurs, it is fairly seamless to the user in most situations. Typical fail-over would occur within 2-3 seconds at this time, the network would be restored.</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FF0000"/>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High Availability license synchronization provides a way to share SonicWALL security services, Stateful High Availability, and other licenses between two SonicWALL security appliances when one is acting as a high availability backup for the other. To use this feature, you must register the SonicWALL appliances on mysonicwall.com as Associated Products. Both appliances must be the same SonicWALL model.</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b/>
          <w:bCs/>
          <w:color w:val="FF0000"/>
          <w:sz w:val="20"/>
          <w:lang w:val="en-US" w:eastAsia="es-ES"/>
        </w:rPr>
        <w:t>Please Note</w:t>
      </w:r>
      <w:r w:rsidRPr="006C7E57">
        <w:rPr>
          <w:rFonts w:ascii="Times-Roman" w:eastAsia="Times New Roman" w:hAnsi="Times-Roman" w:cs="Times New Roman"/>
          <w:color w:val="000000"/>
          <w:sz w:val="20"/>
          <w:szCs w:val="20"/>
          <w:lang w:val="en-US" w:eastAsia="es-ES"/>
        </w:rPr>
        <w:t xml:space="preserve">: High availability license synchronization allows sharing of the SonicOS Enhanced license, the Support subscription, and the security services licenses present on the Primary SonicWALL appliance with the associated Backup appliance. All security services you see on the </w:t>
      </w:r>
      <w:r w:rsidRPr="006C7E57">
        <w:rPr>
          <w:rFonts w:ascii="Times-Roman" w:eastAsia="Times New Roman" w:hAnsi="Times-Roman" w:cs="Times New Roman"/>
          <w:b/>
          <w:bCs/>
          <w:color w:val="000000"/>
          <w:sz w:val="20"/>
          <w:lang w:val="en-US" w:eastAsia="es-ES"/>
        </w:rPr>
        <w:t>Security Services &gt; Summary</w:t>
      </w:r>
      <w:r w:rsidRPr="006C7E57">
        <w:rPr>
          <w:rFonts w:ascii="Times-Roman" w:eastAsia="Times New Roman" w:hAnsi="Times-Roman" w:cs="Times New Roman"/>
          <w:color w:val="000000"/>
          <w:sz w:val="20"/>
          <w:szCs w:val="20"/>
          <w:lang w:val="en-US" w:eastAsia="es-ES"/>
        </w:rPr>
        <w:t xml:space="preserve"> screen are shareable, including Free Trial services. </w:t>
      </w:r>
      <w:r w:rsidRPr="006C7E57">
        <w:rPr>
          <w:rFonts w:ascii="Times-Roman" w:eastAsia="Times New Roman" w:hAnsi="Times-Roman" w:cs="Times New Roman"/>
          <w:color w:val="FF0000"/>
          <w:sz w:val="20"/>
          <w:szCs w:val="20"/>
          <w:lang w:val="en-US" w:eastAsia="es-ES"/>
        </w:rPr>
        <w:t>The only licenses that are not shareable are for consulting services, such as the SonicWALL GMS Preventive Maintenance Service.</w:t>
      </w:r>
      <w:r w:rsidRPr="006C7E57">
        <w:rPr>
          <w:rFonts w:ascii="Times-Roman" w:eastAsia="Times New Roman" w:hAnsi="Times-Roman" w:cs="Times New Roman"/>
          <w:color w:val="000000"/>
          <w:sz w:val="20"/>
          <w:szCs w:val="20"/>
          <w:lang w:val="en-US" w:eastAsia="es-ES"/>
        </w:rPr>
        <w:t xml:space="preserve"> When a hardware failover occurs, the Backup appliance is licensed and ready to take over network security operations.</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b/>
          <w:bCs/>
          <w:color w:val="000000"/>
          <w:sz w:val="20"/>
          <w:lang w:val="en-US" w:eastAsia="es-ES"/>
        </w:rPr>
        <w:t>See also:</w:t>
      </w:r>
      <w:r w:rsidRPr="006C7E57">
        <w:rPr>
          <w:rFonts w:ascii="Times-Roman" w:eastAsia="Times New Roman" w:hAnsi="Times-Roman" w:cs="Times New Roman"/>
          <w:color w:val="000000"/>
          <w:sz w:val="20"/>
          <w:szCs w:val="20"/>
          <w:lang w:val="en-US" w:eastAsia="es-ES"/>
        </w:rPr>
        <w:t xml:space="preserve"> </w:t>
      </w:r>
      <w:hyperlink r:id="rId4" w:tgtFrame="_blank" w:history="1">
        <w:r w:rsidRPr="006C7E57">
          <w:rPr>
            <w:rFonts w:ascii="Times-Roman" w:eastAsia="Times New Roman" w:hAnsi="Times-Roman" w:cs="Times New Roman"/>
            <w:color w:val="0000FF"/>
            <w:sz w:val="20"/>
            <w:u w:val="single"/>
            <w:lang w:val="en-US" w:eastAsia="es-ES"/>
          </w:rPr>
          <w:t>UTM: Support Entitlement Licenses Now Apply to Both Primary and Secondary Units in a Hardware Failover (HF) Pair</w:t>
        </w:r>
      </w:hyperlink>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Availability: </w:t>
      </w:r>
      <w:r w:rsidRPr="006C7E57">
        <w:rPr>
          <w:rFonts w:ascii="Times-Roman" w:eastAsia="Times New Roman" w:hAnsi="Times-Roman" w:cs="Times New Roman"/>
          <w:color w:val="000000"/>
          <w:sz w:val="20"/>
          <w:szCs w:val="20"/>
          <w:lang w:val="en-US" w:eastAsia="es-ES"/>
        </w:rPr>
        <w:t>SonicOS Enhanced for Gen 4 Pro 2040 and up; SonicOS Enhanced for NSA 200 and up</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eastAsia="es-ES"/>
        </w:rPr>
      </w:pPr>
      <w:r w:rsidRPr="006C7E57">
        <w:rPr>
          <w:rFonts w:ascii="Times New Roman" w:eastAsia="Times New Roman" w:hAnsi="Times New Roman" w:cs="Times New Roman"/>
          <w:sz w:val="24"/>
          <w:szCs w:val="24"/>
          <w:lang w:eastAsia="es-ES"/>
        </w:rPr>
        <w:pict>
          <v:rect id="_x0000_i1026" style="width:0;height:1.5pt" o:hralign="center" o:hrstd="t" o:hr="t" fillcolor="#a0a0a0" stroked="f"/>
        </w:pict>
      </w:r>
    </w:p>
    <w:p w:rsidR="006C7E57" w:rsidRPr="006C7E57" w:rsidRDefault="006C7E57" w:rsidP="006C7E57">
      <w:pPr>
        <w:spacing w:before="100" w:beforeAutospacing="1" w:after="100" w:afterAutospacing="1"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Recommended Configuration:</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Arial" w:eastAsia="Times New Roman" w:hAnsi="Arial" w:cs="Arial"/>
          <w:color w:val="000000"/>
          <w:sz w:val="20"/>
          <w:szCs w:val="20"/>
          <w:lang w:val="en-US" w:eastAsia="es-ES"/>
        </w:rPr>
        <w:t xml:space="preserve">-Log into </w:t>
      </w:r>
      <w:hyperlink r:id="rId5" w:history="1">
        <w:r w:rsidRPr="006C7E57">
          <w:rPr>
            <w:rFonts w:ascii="Arial" w:eastAsia="Times New Roman" w:hAnsi="Arial" w:cs="Arial"/>
            <w:color w:val="000000"/>
            <w:sz w:val="20"/>
            <w:u w:val="single"/>
            <w:lang w:val="en-US" w:eastAsia="es-ES"/>
          </w:rPr>
          <w:t>www.mysonicwall.com</w:t>
        </w:r>
      </w:hyperlink>
      <w:r w:rsidRPr="006C7E57">
        <w:rPr>
          <w:rFonts w:ascii="Arial" w:eastAsia="Times New Roman" w:hAnsi="Arial" w:cs="Arial"/>
          <w:color w:val="000000"/>
          <w:sz w:val="20"/>
          <w:szCs w:val="20"/>
          <w:lang w:val="en-US" w:eastAsia="es-ES"/>
        </w:rPr>
        <w:t>. Make sure that both firewalls are registered. Select the firewall to be the designated HF Primary unit. Go to Associated Products and select the HF Secondary link to associate an HF Secondary unit</w:t>
      </w:r>
      <w:r w:rsidRPr="006C7E57">
        <w:rPr>
          <w:rFonts w:ascii="Times-Bold" w:eastAsia="Times New Roman" w:hAnsi="Times-Bold" w:cs="Times New Roman"/>
          <w:b/>
          <w:bCs/>
          <w:color w:val="000000"/>
          <w:sz w:val="20"/>
          <w:lang w:val="en-US" w:eastAsia="es-ES"/>
        </w:rPr>
        <w:t> </w:t>
      </w:r>
      <w:r w:rsidRPr="006C7E57">
        <w:rPr>
          <w:rFonts w:ascii="Times-Bold" w:eastAsia="Times New Roman" w:hAnsi="Times-Bold" w:cs="Times New Roman"/>
          <w:color w:val="000000"/>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Primary unit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w:t>
      </w:r>
      <w:r w:rsidRPr="006C7E57">
        <w:rPr>
          <w:rFonts w:ascii="Times-Roman" w:eastAsia="Times New Roman" w:hAnsi="Times-Roman" w:cs="Times New Roman"/>
          <w:color w:val="000000"/>
          <w:sz w:val="20"/>
          <w:szCs w:val="20"/>
          <w:lang w:val="en-US" w:eastAsia="es-ES"/>
        </w:rPr>
        <w:t>Enable Hardware Fail-over</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-Enter the serial number of the backup unit into the Backup SonicWALL Serial Number field</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-Set Heartbeat Interval (seconds) to 5</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-Set Fail-over Trigger Level (missed heartbeats) to 3</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-Set Election delay time (seconds) to 3</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-Click Apply</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lastRenderedPageBreak/>
        <w:t>Secondary unit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-Unit must be on the same firmware as the Primary unit. (during the initial configuration)</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-Register the secondary unit on mysonicwall.com</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-WAN/LAN should be configured (at least temporarily) for registration purposes</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Step-By-Step:</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Primary unit</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1) Install firmware and configure the Primary Sonicwall as it should be to work in your network environment ( firewall rules, nat policies, routes, VPN’s, etc…)</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2) Connect interfaces as the diagram shows (diagram A)</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3) (optional) Take backup copies of the firmware and settings that are known to work properly with all your network equipment.</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4) Enable Hardware Fail-over</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5) Enter the serial number of the backup unit into the Backup SonicWALL Serial Number field</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6) Set Heartbeat Interval (seconds) to 5</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7) Set Fail-over Trigger Level (missed heartbeats) to 3</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8) Set Election delay time (seconds) to 3</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9) Click Apply</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Secondary unit</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-Unit must be on the same firmware as the Primary unit. (during the initial configuration)</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-Factory Default settings (you can do this during firmware update)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-Connect the HF Link and all other cables</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 Select Synchronize Settings on the primary unit in Hardware Fail-over</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Final Process</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-Once Hardware Fail-over is operational, you need to configure a management IP in Hardware Fail-over -&gt; Monitoring for each unit, then log into the backup unit and</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register the device to complete the setup, then all units should be 100% operational.</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-Alternatively, if you do not have additional un-used IP's on your network to configure the management IP's, you can simply register one unit, then initiate a failover, and the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other unit will be active so you can register this one, and then everything should be operational.</w:t>
      </w:r>
      <w:r w:rsidRPr="006C7E57">
        <w:rPr>
          <w:rFonts w:ascii="Times-Bold" w:eastAsia="Times New Roman" w:hAnsi="Times-Bold" w:cs="Times New Roman"/>
          <w:b/>
          <w:bCs/>
          <w:color w:val="000000"/>
          <w:sz w:val="28"/>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8"/>
          <w:szCs w:val="28"/>
          <w:lang w:val="en-US" w:eastAsia="es-ES"/>
        </w:rPr>
        <w:br/>
      </w:r>
    </w:p>
    <w:p w:rsidR="006C7E57" w:rsidRPr="006C7E57" w:rsidRDefault="006C7E57" w:rsidP="006C7E57">
      <w:pPr>
        <w:spacing w:after="0" w:line="240" w:lineRule="auto"/>
        <w:rPr>
          <w:rFonts w:ascii="Times New Roman" w:eastAsia="Times New Roman" w:hAnsi="Times New Roman" w:cs="Times New Roman"/>
          <w:sz w:val="24"/>
          <w:szCs w:val="24"/>
          <w:lang w:eastAsia="es-ES"/>
        </w:rPr>
      </w:pPr>
      <w:r w:rsidRPr="006C7E57">
        <w:rPr>
          <w:rFonts w:ascii="Times New Roman" w:eastAsia="Times New Roman" w:hAnsi="Times New Roman" w:cs="Times New Roman"/>
          <w:sz w:val="24"/>
          <w:szCs w:val="24"/>
          <w:lang w:eastAsia="es-ES"/>
        </w:rPr>
        <w:pict>
          <v:rect id="_x0000_i1027" style="width:0;height:1.5pt" o:hralign="center" o:hrstd="t" o:hr="t" fillcolor="#a0a0a0" stroked="f"/>
        </w:pic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b/>
          <w:bCs/>
          <w:sz w:val="20"/>
          <w:lang w:val="en-US" w:eastAsia="es-ES"/>
        </w:rPr>
        <w:t> </w:t>
      </w:r>
      <w:r w:rsidRPr="006C7E57">
        <w:rPr>
          <w:rFonts w:ascii="Times New Roman" w:eastAsia="Times New Roman" w:hAnsi="Times New Roman" w:cs="Times New Roman"/>
          <w:sz w:val="24"/>
          <w:szCs w:val="24"/>
          <w:lang w:val="en-US" w:eastAsia="es-ES"/>
        </w:rPr>
        <w:t xml:space="preserve"> </w:t>
      </w:r>
    </w:p>
    <w:p w:rsidR="006C7E57" w:rsidRPr="006C7E57" w:rsidRDefault="006C7E57" w:rsidP="006C7E57">
      <w:pPr>
        <w:spacing w:before="100" w:beforeAutospacing="1" w:after="100" w:afterAutospacing="1"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Hardware Fail-over w/ Stateful Synchronization:</w:t>
      </w:r>
    </w:p>
    <w:p w:rsidR="006C7E57" w:rsidRPr="006C7E57" w:rsidRDefault="006C7E57" w:rsidP="006C7E57">
      <w:pPr>
        <w:spacing w:after="24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Stateful hardware fail-over is a feature that provides that same options as basic hardware fail-over with a list of new features that increase reliability and functionality significantly. Licenses are now shared across an HA pair so a license key must only be purchased for one unit removing the redundant cost for redundancy. A special note below adds a bit more detail to this feature.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Connections are now constantly cached across the units which decreases the fail-over time and nearly puts the possibility of connection failures due to fail-over to less than 10 percent. The Virtual MAC is a new feature as well which allows like interfaces of the units to share the same MAC address. This negates the possibility of ARP caches from routers/switches/machines on the network causing issues when the fail-over occurs since they do not need to be updated anymore which has resulted in the inability to connect completely in situations where gratuitous ARP was not accepted and by firewall standards would generate an IP spoof. An audible alarm, and a test light sequence for the backup unit that mimics a fast heartbeat, are also new features added that have their obvious uses. These features, the connection caching, and the slightly more aggressive fail-over heartbeat monitoring create a superior hardware fail-over feature that is seemless in transition.</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Availability: </w:t>
      </w:r>
      <w:r w:rsidRPr="006C7E57">
        <w:rPr>
          <w:rFonts w:ascii="Times-Roman" w:eastAsia="Times New Roman" w:hAnsi="Times-Roman" w:cs="Times New Roman"/>
          <w:color w:val="000000"/>
          <w:sz w:val="20"/>
          <w:szCs w:val="20"/>
          <w:lang w:val="en-US" w:eastAsia="es-ES"/>
        </w:rPr>
        <w:t xml:space="preserve">Sonic OS Enhanced Gen 4 4.0+ firmware for 4060 and up; Sonic OS Enhanced for NSA 200 and up. Currently as of this document </w:t>
      </w:r>
      <w:r w:rsidRPr="006C7E57">
        <w:rPr>
          <w:rFonts w:ascii="Times-Bold" w:eastAsia="Times New Roman" w:hAnsi="Times-Bold" w:cs="Times New Roman"/>
          <w:color w:val="000000"/>
          <w:sz w:val="20"/>
          <w:szCs w:val="20"/>
          <w:lang w:val="en-US" w:eastAsia="es-ES"/>
        </w:rPr>
        <w:t>the beta for the 2040 and 3060 are publicly available.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lastRenderedPageBreak/>
        <w:t>Recommended Configuration:</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Primary unit</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w:t>
      </w:r>
      <w:r w:rsidRPr="006C7E57">
        <w:rPr>
          <w:rFonts w:ascii="Times-Roman" w:eastAsia="Times New Roman" w:hAnsi="Times-Roman" w:cs="Times New Roman"/>
          <w:color w:val="000000"/>
          <w:sz w:val="20"/>
          <w:szCs w:val="20"/>
          <w:lang w:val="en-US" w:eastAsia="es-ES"/>
        </w:rPr>
        <w:t>Enable Hardware Fail-over</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-Enter the serial number of the backup unit into the Backup SonicWALL Serial Number field</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-Click Apply</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-In Advanced Enable Stateful Synchronization</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-Enable Generate/Overwrite Backup Firmware and Settings When Upgrading Firmware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-Enable Virtual MAC</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-Set Heartbeat Interval (milliseconds) to 1000</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-Set Fail-over Trigger Level (missed heartbeats) to 5</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-Set Probe Interval (seconds) to 5</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-Set Election delay time (seconds) to 3</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-Click Apply</w:t>
      </w:r>
      <w:r w:rsidRPr="006C7E57">
        <w:rPr>
          <w:rFonts w:ascii="Times New Roman" w:eastAsia="Times New Roman" w:hAnsi="Times New Roman" w:cs="Times New Roman"/>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color w:val="000000"/>
          <w:sz w:val="20"/>
          <w:szCs w:val="20"/>
          <w:lang w:val="en-US" w:eastAsia="es-ES"/>
        </w:rPr>
        <w:t>NOTE: it is recommended that Enable Preempt Mode is disabled. This prevents unnecessary fail-backs to the HF Primary, as both units should perform identically when Active.</w:t>
      </w:r>
      <w:r w:rsidRPr="006C7E57">
        <w:rPr>
          <w:rFonts w:ascii="Times New Roman" w:eastAsia="Times New Roman" w:hAnsi="Times New Roman" w:cs="Times New Roman"/>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b/>
          <w:bCs/>
          <w:color w:val="000000"/>
          <w:sz w:val="20"/>
          <w:lang w:val="en-US" w:eastAsia="es-ES"/>
        </w:rPr>
        <w:t>Monitoring</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b/>
          <w:bCs/>
          <w:color w:val="000000"/>
          <w:sz w:val="20"/>
          <w:lang w:val="en-US" w:eastAsia="es-ES"/>
        </w:rPr>
        <w:t>-</w:t>
      </w:r>
      <w:r w:rsidRPr="006C7E57">
        <w:rPr>
          <w:rFonts w:ascii="Times New Roman" w:eastAsia="Times New Roman" w:hAnsi="Times New Roman" w:cs="Times New Roman"/>
          <w:color w:val="000000"/>
          <w:sz w:val="20"/>
          <w:szCs w:val="20"/>
          <w:lang w:val="en-US" w:eastAsia="es-ES"/>
        </w:rPr>
        <w:t>Interface X0 Monitoring should be enabled. This allows for the Primary and Backup units to have an always available management IP address.</w:t>
      </w:r>
      <w:r w:rsidRPr="006C7E57">
        <w:rPr>
          <w:rFonts w:ascii="Times New Roman" w:eastAsia="Times New Roman" w:hAnsi="Times New Roman" w:cs="Times New Roman"/>
          <w:color w:val="0000FF"/>
          <w:sz w:val="20"/>
          <w:szCs w:val="20"/>
          <w:lang w:val="en-US" w:eastAsia="es-ES"/>
        </w:rPr>
        <w:t xml:space="preserve">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br/>
      </w:r>
      <w:r w:rsidRPr="006C7E57">
        <w:rPr>
          <w:rFonts w:ascii="Times New Roman" w:eastAsia="Times New Roman" w:hAnsi="Times New Roman" w:cs="Times New Roman"/>
          <w:color w:val="000000"/>
          <w:sz w:val="20"/>
          <w:szCs w:val="20"/>
          <w:lang w:val="en-US" w:eastAsia="es-ES"/>
        </w:rPr>
        <w:t>-At any given time the Active unit should be accessible via the X0 LAN IP address, as well as the monitoring IP address. The Idle unit should be accessible via the monitoring IP address.</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br/>
      </w:r>
      <w:r w:rsidRPr="006C7E57">
        <w:rPr>
          <w:rFonts w:ascii="Times New Roman" w:eastAsia="Times New Roman" w:hAnsi="Times New Roman" w:cs="Times New Roman"/>
          <w:color w:val="000000"/>
          <w:sz w:val="20"/>
          <w:szCs w:val="20"/>
          <w:lang w:val="en-US" w:eastAsia="es-ES"/>
        </w:rPr>
        <w:t>-The Monitoring IP’s also allow for Logical Monitoring (probing) to occur. The Primary and Backup will each send probes e.g. PING’s to the configured Probe IP Address with a source IP of the Primary and Backup IP addresses. This helps make the HA process more complete in case of a connectivity issue stemming from a firewall’s path. The probe target should be a reliable device.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br/>
      </w:r>
      <w:r w:rsidRPr="006C7E57">
        <w:rPr>
          <w:rFonts w:ascii="Times New Roman" w:eastAsia="Times New Roman" w:hAnsi="Times New Roman" w:cs="Times New Roman"/>
          <w:color w:val="000000"/>
          <w:sz w:val="20"/>
          <w:szCs w:val="20"/>
          <w:lang w:val="en-US" w:eastAsia="es-ES"/>
        </w:rPr>
        <w:t>-If both monitoring IP’s can successfully ping the target, no failover occurs. If neither can successfully ping the target, no failover occurs, because it is assumed that the problem is with the target, and not the SonicWALL appliances. But, if one appliance can ping the target but the other appliance cannot, failover will occur to the appliance that can ping the target.</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color w:val="000000"/>
          <w:sz w:val="20"/>
          <w:szCs w:val="20"/>
          <w:lang w:val="en-US" w:eastAsia="es-ES"/>
        </w:rPr>
        <w:t>Note: X1 (WAN) Monitoring is not required. X1 Monitoring behaves similarly to the X0 Monitoring e.g. allows for management of the IDLE firewall and Logical probing.</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Secondary unit</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-Unit must be on the same firmware as the Primary unit. (during the initial configuration)</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-Factory Default settings (you can do this during firmware update)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-Connect the secondary HF Link and the settings will copy over.</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Final Process</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-Once Hardware Fail-over is operational, you need to configure a management IP in Hardware Fail-over -&gt; Monitoring for each unit, then log into the backup unit and</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register the device to complete the setup, then all units should be 100% operational.</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-Alternatively, if you do not have additional un-used IP's on your network to configure the management IP's, you can simply register one unit, then initiate a failover, and the other unit will be active so you can register this one, and then everything should be operational.</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Special Notes:</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When cabling the devices for fail-over, each interface must be connected to a hub/switch that the like interface of the adjacent unit is connected to and must not share it with another interface. What this means is X0 and X0 from each unit must be connected to a single hub/switch. X1 and X1 from the same unit must share another, separate, hub/switch. This goes forth for the rest of the interfaces. the HF Link must be a crossover directly connecting each device.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Because of the nature of 4.0 and Stateful Hardware Fail-over in regards to licenses, the devices need a constant route to licensemanager.sonicwall.com and X1 requires a valid DNS entry that is capable of resolving that domain.</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lastRenderedPageBreak/>
        <w:br/>
      </w:r>
      <w:r w:rsidRPr="006C7E57">
        <w:rPr>
          <w:rFonts w:ascii="Times-Roman" w:eastAsia="Times New Roman" w:hAnsi="Times-Roman" w:cs="Times New Roman"/>
          <w:color w:val="000000"/>
          <w:sz w:val="20"/>
          <w:szCs w:val="20"/>
          <w:lang w:val="en-US" w:eastAsia="es-ES"/>
        </w:rPr>
        <w:t>You can edit settings on the primary, or the backup unit (if interface management has been enabled in the Monitoring section) however the adjacent unit will not reflect the settings unless you click the synchronize settings button.</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Replacing/Installing a new unit into an existing HA Pair:</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This applies when a new device is being placed into an existing HA pair typically due to RMA or swapping with another unit. When a new unit is ready to be placed into the failover group, both units must be ready for this change.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Procedure: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-In the active unit, disable Hardware Fail-over and clear out the Backup SonicWALL Serial Number with 12 zeros, i.e. 000000000000 then click Apply.</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-Now copy and save the firmware and settings file to a machine that can be removed from the network. A laptop and/or jump drive are excellent tools for this and the next couple steps.</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-Reset the new unit w/ the reset button and then enter Safe Mode.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-Upload the saved firmware and boot w/ factory defaults.</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-Place the new unit into the network where the unit that was removed was connected.</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-Enable Hardware ailover on the active unit, enter the serial number in the proper field, and click Apply</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-Hardware Fail-over will become active shortly.</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-Once Hardware Fail-over is operational, you need to configure a management IP in</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Hardware Fail-over -&gt; Monitoring for each unit, then log into the backup unit and register the device to complete the setup, then all units should be 100% operational.</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-Alternatively, if you do not have additional un-used IP's on your network to configure the management IP's, you can simply register one unit, then initiate a failover, and the other unit will be active so you can register this one, and then everything should be operational.</w:t>
      </w:r>
      <w:r w:rsidRPr="006C7E57">
        <w:rPr>
          <w:rFonts w:ascii="Times-Bold" w:eastAsia="Times New Roman" w:hAnsi="Times-Bold" w:cs="Times New Roman"/>
          <w:b/>
          <w:bCs/>
          <w:color w:val="000000"/>
          <w:sz w:val="28"/>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Role Changing:</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Roman" w:eastAsia="Times New Roman" w:hAnsi="Times-Roman" w:cs="Times New Roman"/>
          <w:color w:val="000000"/>
          <w:sz w:val="20"/>
          <w:szCs w:val="20"/>
          <w:lang w:val="en-US" w:eastAsia="es-ES"/>
        </w:rPr>
        <w:t>Sometimes it may be necessary to change the active role of a unit, i.e. from primary to backup or vice versa. To do this, follow the below procedure.</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Bold" w:eastAsia="Times New Roman" w:hAnsi="Times-Bold" w:cs="Times New Roman"/>
          <w:b/>
          <w:bCs/>
          <w:color w:val="000000"/>
          <w:sz w:val="20"/>
          <w:lang w:val="en-US" w:eastAsia="es-ES"/>
        </w:rPr>
        <w:t>Procedure:</w:t>
      </w:r>
      <w:r w:rsidRPr="006C7E57">
        <w:rPr>
          <w:rFonts w:ascii="Times-Bold" w:eastAsia="Times New Roman" w:hAnsi="Times-Bold" w:cs="Times New Roman"/>
          <w:color w:val="000000"/>
          <w:sz w:val="20"/>
          <w:szCs w:val="20"/>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color w:val="000000"/>
          <w:sz w:val="20"/>
          <w:szCs w:val="20"/>
          <w:lang w:val="en-US" w:eastAsia="es-ES"/>
        </w:rPr>
        <w:t>-Disable Hardware Fail-over and clear out the Backup SonicWALL Serial Number with 12 zeros i.e. 000000000000 and then click Apply.</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color w:val="000000"/>
          <w:sz w:val="20"/>
          <w:szCs w:val="20"/>
          <w:lang w:val="en-US" w:eastAsia="es-ES"/>
        </w:rPr>
        <w:t>-Once the adjacent unit reboots, failover should be disabled and now it can be enabled on whichever unit the operator feels should be the primary.</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color w:val="000000"/>
          <w:sz w:val="20"/>
          <w:szCs w:val="20"/>
          <w:lang w:val="en-US" w:eastAsia="es-ES"/>
        </w:rPr>
        <w:t xml:space="preserve">-Log into the </w:t>
      </w:r>
      <w:hyperlink r:id="rId6" w:history="1">
        <w:r w:rsidRPr="006C7E57">
          <w:rPr>
            <w:rFonts w:ascii="Times New Roman" w:eastAsia="Times New Roman" w:hAnsi="Times New Roman" w:cs="Times New Roman"/>
            <w:color w:val="000000"/>
            <w:sz w:val="20"/>
            <w:u w:val="single"/>
            <w:lang w:val="en-US" w:eastAsia="es-ES"/>
          </w:rPr>
          <w:t>www.mysonicwall.com</w:t>
        </w:r>
      </w:hyperlink>
      <w:r w:rsidRPr="006C7E57">
        <w:rPr>
          <w:rFonts w:ascii="Times New Roman" w:eastAsia="Times New Roman" w:hAnsi="Times New Roman" w:cs="Times New Roman"/>
          <w:color w:val="000000"/>
          <w:sz w:val="20"/>
          <w:szCs w:val="20"/>
          <w:lang w:val="en-US" w:eastAsia="es-ES"/>
        </w:rPr>
        <w:t xml:space="preserve"> account to remove the Associated HF Secondary unit.</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color w:val="000000"/>
          <w:sz w:val="20"/>
          <w:szCs w:val="20"/>
          <w:lang w:val="en-US" w:eastAsia="es-ES"/>
        </w:rPr>
        <w:t>-Select the current HF Secondary unit from Registered Products. Go to Parent Product and select Remove twice to disassociate the unit.</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color w:val="000000"/>
          <w:sz w:val="20"/>
          <w:szCs w:val="20"/>
          <w:lang w:val="en-US" w:eastAsia="es-ES"/>
        </w:rPr>
        <w:t>-Select the new HF Primary unit Registered Productst. Click on Associated Products&gt;HF Secondary to associate the new HF Secondary unit.</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sz w:val="24"/>
          <w:szCs w:val="24"/>
          <w:lang w:val="en-US" w:eastAsia="es-ES"/>
        </w:rPr>
        <w:t> </w:t>
      </w:r>
    </w:p>
    <w:p w:rsidR="006C7E57" w:rsidRPr="006C7E57" w:rsidRDefault="006C7E57" w:rsidP="006C7E57">
      <w:pPr>
        <w:spacing w:after="0" w:line="240" w:lineRule="auto"/>
        <w:rPr>
          <w:rFonts w:ascii="Times New Roman" w:eastAsia="Times New Roman" w:hAnsi="Times New Roman" w:cs="Times New Roman"/>
          <w:sz w:val="24"/>
          <w:szCs w:val="24"/>
          <w:lang w:val="en-US" w:eastAsia="es-ES"/>
        </w:rPr>
      </w:pPr>
      <w:r w:rsidRPr="006C7E57">
        <w:rPr>
          <w:rFonts w:ascii="Times New Roman" w:eastAsia="Times New Roman" w:hAnsi="Times New Roman" w:cs="Times New Roman"/>
          <w:b/>
          <w:bCs/>
          <w:sz w:val="25"/>
          <w:lang w:val="en-US" w:eastAsia="es-ES"/>
        </w:rPr>
        <w:t>*</w:t>
      </w:r>
      <w:r w:rsidRPr="006C7E57">
        <w:rPr>
          <w:rFonts w:ascii="Arial" w:eastAsia="Times New Roman" w:hAnsi="Arial" w:cs="Arial"/>
          <w:b/>
          <w:bCs/>
          <w:sz w:val="24"/>
          <w:szCs w:val="24"/>
          <w:lang w:val="en-US" w:eastAsia="es-ES"/>
        </w:rPr>
        <w:t>HA does not support Portshield interfaces. Therefore, when using NSA 2400MX, Portshield interfaces should be disabled</w:t>
      </w:r>
    </w:p>
    <w:p w:rsidR="00CA5ACB" w:rsidRPr="006C7E57" w:rsidRDefault="00CA5ACB">
      <w:pPr>
        <w:rPr>
          <w:lang w:val="en-US"/>
        </w:rPr>
      </w:pPr>
    </w:p>
    <w:sectPr w:rsidR="00CA5ACB" w:rsidRPr="006C7E57" w:rsidSect="00CA5AC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Bold">
    <w:altName w:val="Times New Roman"/>
    <w:panose1 w:val="00000000000000000000"/>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6C7E57"/>
    <w:rsid w:val="006C7E57"/>
    <w:rsid w:val="00CA5AC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AC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6C7E57"/>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6C7E57"/>
    <w:rPr>
      <w:b/>
      <w:bCs/>
    </w:rPr>
  </w:style>
  <w:style w:type="character" w:styleId="Hipervnculo">
    <w:name w:val="Hyperlink"/>
    <w:basedOn w:val="Fuentedeprrafopredeter"/>
    <w:uiPriority w:val="99"/>
    <w:semiHidden/>
    <w:unhideWhenUsed/>
    <w:rsid w:val="006C7E57"/>
    <w:rPr>
      <w:color w:val="0000FF"/>
      <w:u w:val="single"/>
    </w:rPr>
  </w:style>
</w:styles>
</file>

<file path=word/webSettings.xml><?xml version="1.0" encoding="utf-8"?>
<w:webSettings xmlns:r="http://schemas.openxmlformats.org/officeDocument/2006/relationships" xmlns:w="http://schemas.openxmlformats.org/wordprocessingml/2006/main">
  <w:divs>
    <w:div w:id="1720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ysonicwall.com/" TargetMode="External"/><Relationship Id="rId5" Type="http://schemas.openxmlformats.org/officeDocument/2006/relationships/hyperlink" Target="http://www.mysonicwall.com/" TargetMode="External"/><Relationship Id="rId4" Type="http://schemas.openxmlformats.org/officeDocument/2006/relationships/hyperlink" Target="https://www.fuzeqna.com/sonicwallkb/csr/kbdetail.asp?kbid=4644"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1892</Words>
  <Characters>10409</Characters>
  <Application>Microsoft Office Word</Application>
  <DocSecurity>0</DocSecurity>
  <Lines>86</Lines>
  <Paragraphs>24</Paragraphs>
  <ScaleCrop>false</ScaleCrop>
  <Company>Sonicwall</Company>
  <LinksUpToDate>false</LinksUpToDate>
  <CharactersWithSpaces>12277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Vazquez</dc:creator>
  <cp:lastModifiedBy>Alex Vazquez</cp:lastModifiedBy>
  <cp:revision>1</cp:revision>
  <dcterms:created xsi:type="dcterms:W3CDTF">2012-02-27T22:15:00Z</dcterms:created>
  <dcterms:modified xsi:type="dcterms:W3CDTF">2012-02-27T22:16:00Z</dcterms:modified>
</cp:coreProperties>
</file>